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4056"/>
      </w:tblGrid>
      <w:tr w:rsidR="004F2539" w:rsidRPr="008A61CF" w:rsidTr="00D90323">
        <w:trPr>
          <w:jc w:val="center"/>
        </w:trPr>
        <w:tc>
          <w:tcPr>
            <w:tcW w:w="0" w:type="auto"/>
            <w:shd w:val="clear" w:color="auto" w:fill="auto"/>
          </w:tcPr>
          <w:p w:rsidR="004F2539" w:rsidRPr="008A61CF" w:rsidRDefault="004F2539" w:rsidP="00D90323">
            <w:pPr>
              <w:tabs>
                <w:tab w:val="left" w:pos="3936"/>
              </w:tabs>
              <w:rPr>
                <w:rFonts w:ascii="Cambria" w:hAnsi="Cambria" w:cs="Tahoma"/>
              </w:rPr>
            </w:pPr>
            <w:r w:rsidRPr="008A61CF">
              <w:rPr>
                <w:rFonts w:ascii="Cambria" w:hAnsi="Cambria" w:cs="Tahoma"/>
                <w:noProof/>
                <w:lang w:val="pl-PL" w:eastAsia="pl-PL"/>
              </w:rPr>
              <w:drawing>
                <wp:anchor distT="0" distB="0" distL="114300" distR="114300" simplePos="0" relativeHeight="251661312" behindDoc="0" locked="0" layoutInCell="1" allowOverlap="1" wp14:anchorId="796AFD5A" wp14:editId="188659C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186055</wp:posOffset>
                  </wp:positionV>
                  <wp:extent cx="1555200" cy="1332000"/>
                  <wp:effectExtent l="0" t="0" r="6985" b="1905"/>
                  <wp:wrapSquare wrapText="bothSides"/>
                  <wp:docPr id="6" name="Obraz 6" descr="European-commission-300x2001_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uropean-commission-300x2001_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0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</w:tcPr>
          <w:p w:rsidR="004F2539" w:rsidRPr="008A61CF" w:rsidRDefault="004F2539" w:rsidP="00D90323">
            <w:pPr>
              <w:tabs>
                <w:tab w:val="left" w:pos="3936"/>
              </w:tabs>
              <w:jc w:val="right"/>
              <w:rPr>
                <w:rFonts w:ascii="Cambria" w:hAnsi="Cambria" w:cs="Tahoma"/>
              </w:rPr>
            </w:pPr>
            <w:r w:rsidRPr="008A61CF">
              <w:rPr>
                <w:rFonts w:ascii="Cambria" w:hAnsi="Cambria" w:cs="Tahoma"/>
                <w:noProof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 wp14:anchorId="752E4F40" wp14:editId="0CA33A0C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224155</wp:posOffset>
                  </wp:positionV>
                  <wp:extent cx="2434519" cy="425450"/>
                  <wp:effectExtent l="0" t="0" r="4445" b="0"/>
                  <wp:wrapSquare wrapText="bothSides"/>
                  <wp:docPr id="5" name="Obraz 5" descr="H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19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2539" w:rsidRPr="008A61CF" w:rsidRDefault="004F2539" w:rsidP="00D90323">
            <w:pPr>
              <w:tabs>
                <w:tab w:val="left" w:pos="3936"/>
              </w:tabs>
              <w:rPr>
                <w:rFonts w:ascii="Cambria" w:hAnsi="Cambria" w:cs="Tahoma"/>
              </w:rPr>
            </w:pPr>
            <w:r w:rsidRPr="008A61CF">
              <w:rPr>
                <w:rFonts w:ascii="Cambria" w:hAnsi="Cambria" w:cs="Tahoma"/>
                <w:noProof/>
                <w:lang w:val="pl-PL" w:eastAsia="pl-PL"/>
              </w:rPr>
              <w:drawing>
                <wp:anchor distT="0" distB="0" distL="114300" distR="114300" simplePos="0" relativeHeight="251660288" behindDoc="0" locked="0" layoutInCell="1" allowOverlap="1" wp14:anchorId="6CF69222" wp14:editId="4A510FE5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547370</wp:posOffset>
                  </wp:positionV>
                  <wp:extent cx="1505276" cy="546100"/>
                  <wp:effectExtent l="0" t="0" r="0" b="6350"/>
                  <wp:wrapSquare wrapText="bothSides"/>
                  <wp:docPr id="4" name="Obraz 4" descr="F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276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2539" w:rsidRPr="008A61CF" w:rsidRDefault="004F2539" w:rsidP="00D90323">
            <w:pPr>
              <w:tabs>
                <w:tab w:val="left" w:pos="3936"/>
              </w:tabs>
              <w:jc w:val="center"/>
              <w:rPr>
                <w:rFonts w:ascii="Cambria" w:hAnsi="Cambria" w:cs="Tahoma"/>
              </w:rPr>
            </w:pPr>
          </w:p>
        </w:tc>
      </w:tr>
    </w:tbl>
    <w:p w:rsidR="004F2539" w:rsidRDefault="004F2539">
      <w:pPr>
        <w:rPr>
          <w:lang w:val="pl-PL"/>
        </w:rPr>
      </w:pPr>
    </w:p>
    <w:p w:rsidR="004F2539" w:rsidRPr="004F2539" w:rsidRDefault="004F2539" w:rsidP="004F2539">
      <w:pPr>
        <w:jc w:val="center"/>
        <w:rPr>
          <w:rFonts w:ascii="Tw Cen MT" w:eastAsia="Tw Cen MT" w:hAnsi="Tw Cen MT" w:cs="Times New Roman"/>
          <w:color w:val="1CADE4"/>
          <w:sz w:val="40"/>
          <w:lang w:val="pl-PL"/>
        </w:rPr>
      </w:pPr>
      <w:r w:rsidRPr="004F2539">
        <w:rPr>
          <w:rFonts w:ascii="Tw Cen MT" w:eastAsia="Tw Cen MT" w:hAnsi="Tw Cen MT" w:cs="Times New Roman"/>
          <w:color w:val="1CADE4"/>
          <w:sz w:val="40"/>
          <w:lang w:val="pl-PL"/>
        </w:rPr>
        <w:t>Prawa człowieka a wzajemne uznawanie wyroków w UE - refleksje na kanwie sprawy Celmer</w:t>
      </w:r>
    </w:p>
    <w:p w:rsidR="004F2539" w:rsidRPr="004F2539" w:rsidRDefault="004F2539" w:rsidP="004F2539">
      <w:pPr>
        <w:jc w:val="center"/>
        <w:rPr>
          <w:lang w:val="pl-PL"/>
        </w:rPr>
      </w:pPr>
      <w:r w:rsidRPr="004F2539">
        <w:rPr>
          <w:rFonts w:ascii="Tw Cen MT" w:eastAsia="Tw Cen MT" w:hAnsi="Tw Cen MT" w:cs="Times New Roman"/>
          <w:color w:val="1CADE4"/>
          <w:sz w:val="40"/>
          <w:lang w:val="pl-PL"/>
        </w:rPr>
        <w:t>Konferencja HFPC</w:t>
      </w:r>
    </w:p>
    <w:p w:rsidR="004F2539" w:rsidRDefault="004F2539" w:rsidP="004F2539">
      <w:pPr>
        <w:jc w:val="both"/>
        <w:rPr>
          <w:lang w:val="pl-PL"/>
        </w:rPr>
      </w:pPr>
      <w:r>
        <w:rPr>
          <w:lang w:val="pl-PL"/>
        </w:rPr>
        <w:t xml:space="preserve">Helsińska Fundacja Praw Człowieka ma zaszczyt zaprosić </w:t>
      </w:r>
      <w:r w:rsidR="00B93C41">
        <w:rPr>
          <w:lang w:val="pl-PL"/>
        </w:rPr>
        <w:t>adwokatów oraz aplikantów adwokackich na </w:t>
      </w:r>
      <w:r>
        <w:rPr>
          <w:lang w:val="pl-PL"/>
        </w:rPr>
        <w:t xml:space="preserve">konferencję </w:t>
      </w:r>
      <w:r w:rsidRPr="004F2539">
        <w:rPr>
          <w:lang w:val="pl-PL"/>
        </w:rPr>
        <w:t>pt. "Prawa człowieka a wzajemne uznawanie wyroków w Unii Europejskiej – refleksje na kanwie sprawy Celmer", organizowaną przez HFPC 13 czerwca 2018 r. w godz. 13.30-17.30 w Kancelarii Clifford Chance przy ul. Lwowskiej 19 w Warszawie.</w:t>
      </w:r>
    </w:p>
    <w:p w:rsidR="004F2539" w:rsidRDefault="004F2539" w:rsidP="004F2539">
      <w:pPr>
        <w:jc w:val="both"/>
        <w:rPr>
          <w:lang w:val="pl-PL"/>
        </w:rPr>
      </w:pPr>
      <w:r w:rsidRPr="004F2539">
        <w:rPr>
          <w:lang w:val="pl-PL"/>
        </w:rPr>
        <w:t xml:space="preserve">W trakcie konferencji przewidujemy dwa panele z wystąpieniami zaproszonych prelegentów oraz </w:t>
      </w:r>
      <w:r w:rsidR="00991029">
        <w:rPr>
          <w:lang w:val="pl-PL"/>
        </w:rPr>
        <w:t>czas</w:t>
      </w:r>
      <w:r w:rsidRPr="004F2539">
        <w:rPr>
          <w:lang w:val="pl-PL"/>
        </w:rPr>
        <w:t xml:space="preserve"> na dyskusję uczestników konferencji. Bardzo zależy nam na zachowaniu interaktywnego charakteru wydarzenia, </w:t>
      </w:r>
      <w:r w:rsidR="00B93C41">
        <w:rPr>
          <w:lang w:val="pl-PL"/>
        </w:rPr>
        <w:t>w trakcie którego</w:t>
      </w:r>
      <w:r w:rsidRPr="004F2539">
        <w:rPr>
          <w:lang w:val="pl-PL"/>
        </w:rPr>
        <w:t xml:space="preserve"> chcielibyśmy zgromadzić liczne grono prawników zajmujących się sprawami ENA oraz </w:t>
      </w:r>
      <w:r w:rsidR="000A2485">
        <w:rPr>
          <w:lang w:val="pl-PL"/>
        </w:rPr>
        <w:t>prawem Unii</w:t>
      </w:r>
      <w:r w:rsidRPr="004F2539">
        <w:rPr>
          <w:lang w:val="pl-PL"/>
        </w:rPr>
        <w:t xml:space="preserve"> </w:t>
      </w:r>
      <w:r w:rsidR="000A2485">
        <w:rPr>
          <w:lang w:val="pl-PL"/>
        </w:rPr>
        <w:t>E</w:t>
      </w:r>
      <w:r w:rsidRPr="004F2539">
        <w:rPr>
          <w:lang w:val="pl-PL"/>
        </w:rPr>
        <w:t xml:space="preserve">uropejskiego, w </w:t>
      </w:r>
      <w:r w:rsidR="000A2485">
        <w:rPr>
          <w:lang w:val="pl-PL"/>
        </w:rPr>
        <w:t>szczególności</w:t>
      </w:r>
      <w:r w:rsidRPr="004F2539">
        <w:rPr>
          <w:lang w:val="pl-PL"/>
        </w:rPr>
        <w:t xml:space="preserve"> w obszarze wymiaru sprawiedliwości w sprawach karnych. </w:t>
      </w:r>
    </w:p>
    <w:p w:rsidR="004F2539" w:rsidRDefault="00B93C41" w:rsidP="004F2539">
      <w:pPr>
        <w:jc w:val="both"/>
        <w:rPr>
          <w:lang w:val="pl-PL"/>
        </w:rPr>
      </w:pPr>
      <w:r>
        <w:rPr>
          <w:lang w:val="pl-PL"/>
        </w:rPr>
        <w:t xml:space="preserve">Konferencja stanowić będzie okazję do zaprezentowania wyników projektu </w:t>
      </w:r>
      <w:r w:rsidR="000A2485">
        <w:rPr>
          <w:lang w:val="pl-PL"/>
        </w:rPr>
        <w:t>"Beyond Surrender" prowadzony</w:t>
      </w:r>
      <w:r w:rsidR="004F2539" w:rsidRPr="004F2539">
        <w:rPr>
          <w:lang w:val="pl-PL"/>
        </w:rPr>
        <w:t xml:space="preserve"> </w:t>
      </w:r>
      <w:r>
        <w:rPr>
          <w:lang w:val="pl-PL"/>
        </w:rPr>
        <w:t xml:space="preserve">przez HFPC </w:t>
      </w:r>
      <w:r w:rsidR="004F2539" w:rsidRPr="004F2539">
        <w:rPr>
          <w:lang w:val="pl-PL"/>
        </w:rPr>
        <w:t xml:space="preserve">od 2016 r., którego celem </w:t>
      </w:r>
      <w:r>
        <w:rPr>
          <w:lang w:val="pl-PL"/>
        </w:rPr>
        <w:t>było</w:t>
      </w:r>
      <w:bookmarkStart w:id="0" w:name="_GoBack"/>
      <w:bookmarkEnd w:id="0"/>
      <w:r>
        <w:rPr>
          <w:lang w:val="pl-PL"/>
        </w:rPr>
        <w:t xml:space="preserve"> </w:t>
      </w:r>
      <w:r w:rsidR="004F2539" w:rsidRPr="004F2539">
        <w:rPr>
          <w:lang w:val="pl-PL"/>
        </w:rPr>
        <w:t xml:space="preserve">zbadanie praktyki stosowania ENA i wpływu przekazania na życie osób ściganych. Projekt </w:t>
      </w:r>
      <w:r>
        <w:rPr>
          <w:lang w:val="pl-PL"/>
        </w:rPr>
        <w:t xml:space="preserve">ten finansowany jest </w:t>
      </w:r>
      <w:r w:rsidRPr="004F2539">
        <w:rPr>
          <w:lang w:val="pl-PL"/>
        </w:rPr>
        <w:t>ze środków Komisji Europejskiej</w:t>
      </w:r>
      <w:r>
        <w:rPr>
          <w:lang w:val="pl-PL"/>
        </w:rPr>
        <w:t xml:space="preserve">. Jego realizację, </w:t>
      </w:r>
      <w:r w:rsidRPr="004F2539">
        <w:rPr>
          <w:lang w:val="pl-PL"/>
        </w:rPr>
        <w:t>w czterech krajach Unii Europejskiej – w Polsce, Rumunii, Hiszpanii i na Litwie</w:t>
      </w:r>
      <w:r>
        <w:rPr>
          <w:lang w:val="pl-PL"/>
        </w:rPr>
        <w:t xml:space="preserve">, koordynuje zaś </w:t>
      </w:r>
      <w:r w:rsidR="004F2539" w:rsidRPr="004F2539">
        <w:rPr>
          <w:lang w:val="pl-PL"/>
        </w:rPr>
        <w:t xml:space="preserve">Fair Trials Europe. </w:t>
      </w:r>
    </w:p>
    <w:p w:rsidR="000A2485" w:rsidRDefault="000A2485" w:rsidP="004F2539">
      <w:pPr>
        <w:jc w:val="both"/>
        <w:rPr>
          <w:lang w:val="pl-PL"/>
        </w:rPr>
      </w:pPr>
      <w:r>
        <w:rPr>
          <w:lang w:val="pl-PL"/>
        </w:rPr>
        <w:t>U</w:t>
      </w:r>
      <w:r w:rsidRPr="000A2485">
        <w:rPr>
          <w:lang w:val="pl-PL"/>
        </w:rPr>
        <w:t xml:space="preserve">przejmie prosimy o potwierdzenie udziału w konferencji na adres mailowy </w:t>
      </w:r>
      <w:hyperlink r:id="rId10" w:history="1">
        <w:r w:rsidRPr="000A2485">
          <w:rPr>
            <w:rStyle w:val="Hipercze"/>
            <w:lang w:val="pl-PL"/>
          </w:rPr>
          <w:t>j.smetek</w:t>
        </w:r>
        <w:r w:rsidR="00991029">
          <w:rPr>
            <w:rStyle w:val="Hipercze"/>
            <w:lang w:val="pl-PL"/>
          </w:rPr>
          <w:t>[at]</w:t>
        </w:r>
        <w:r w:rsidRPr="000A2485">
          <w:rPr>
            <w:rStyle w:val="Hipercze"/>
            <w:lang w:val="pl-PL"/>
          </w:rPr>
          <w:t>hfhr.org.pl</w:t>
        </w:r>
      </w:hyperlink>
      <w:r>
        <w:rPr>
          <w:lang w:val="pl-PL"/>
        </w:rPr>
        <w:t xml:space="preserve"> do</w:t>
      </w:r>
      <w:r w:rsidRPr="000A2485">
        <w:rPr>
          <w:lang w:val="pl-PL"/>
        </w:rPr>
        <w:t xml:space="preserve"> </w:t>
      </w:r>
      <w:r>
        <w:rPr>
          <w:lang w:val="pl-PL"/>
        </w:rPr>
        <w:t>11</w:t>
      </w:r>
      <w:r w:rsidRPr="000A2485">
        <w:rPr>
          <w:lang w:val="pl-PL"/>
        </w:rPr>
        <w:t xml:space="preserve"> czerwca 2018 r.</w:t>
      </w:r>
    </w:p>
    <w:p w:rsidR="00991029" w:rsidRDefault="00991029">
      <w:pPr>
        <w:rPr>
          <w:lang w:val="pl-PL"/>
        </w:rPr>
      </w:pPr>
      <w:r>
        <w:rPr>
          <w:lang w:val="pl-PL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4056"/>
      </w:tblGrid>
      <w:tr w:rsidR="00991029" w:rsidRPr="008A61CF" w:rsidTr="00427542">
        <w:trPr>
          <w:jc w:val="center"/>
        </w:trPr>
        <w:tc>
          <w:tcPr>
            <w:tcW w:w="0" w:type="auto"/>
            <w:shd w:val="clear" w:color="auto" w:fill="auto"/>
          </w:tcPr>
          <w:p w:rsidR="00991029" w:rsidRPr="008A61CF" w:rsidRDefault="00991029" w:rsidP="00427542">
            <w:pPr>
              <w:tabs>
                <w:tab w:val="left" w:pos="3936"/>
              </w:tabs>
              <w:rPr>
                <w:rFonts w:ascii="Cambria" w:hAnsi="Cambria" w:cs="Tahoma"/>
              </w:rPr>
            </w:pPr>
            <w:r w:rsidRPr="008A61CF">
              <w:rPr>
                <w:rFonts w:ascii="Cambria" w:hAnsi="Cambria" w:cs="Tahoma"/>
                <w:noProof/>
                <w:lang w:val="pl-PL" w:eastAsia="pl-PL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D5CAFE2" wp14:editId="57D4435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186055</wp:posOffset>
                  </wp:positionV>
                  <wp:extent cx="1555200" cy="1332000"/>
                  <wp:effectExtent l="0" t="0" r="6985" b="1905"/>
                  <wp:wrapSquare wrapText="bothSides"/>
                  <wp:docPr id="1" name="Obraz 1" descr="European-commission-300x2001_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uropean-commission-300x2001_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0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</w:tcPr>
          <w:p w:rsidR="00991029" w:rsidRPr="008A61CF" w:rsidRDefault="00991029" w:rsidP="00427542">
            <w:pPr>
              <w:tabs>
                <w:tab w:val="left" w:pos="3936"/>
              </w:tabs>
              <w:jc w:val="right"/>
              <w:rPr>
                <w:rFonts w:ascii="Cambria" w:hAnsi="Cambria" w:cs="Tahoma"/>
              </w:rPr>
            </w:pPr>
            <w:r w:rsidRPr="008A61CF">
              <w:rPr>
                <w:rFonts w:ascii="Cambria" w:hAnsi="Cambria" w:cs="Tahoma"/>
                <w:noProof/>
                <w:lang w:val="pl-PL" w:eastAsia="pl-PL"/>
              </w:rPr>
              <w:drawing>
                <wp:anchor distT="0" distB="0" distL="114300" distR="114300" simplePos="0" relativeHeight="251663360" behindDoc="0" locked="0" layoutInCell="1" allowOverlap="1" wp14:anchorId="05297E4A" wp14:editId="23DE8A24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224155</wp:posOffset>
                  </wp:positionV>
                  <wp:extent cx="2434519" cy="425450"/>
                  <wp:effectExtent l="0" t="0" r="4445" b="0"/>
                  <wp:wrapSquare wrapText="bothSides"/>
                  <wp:docPr id="2" name="Obraz 2" descr="H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19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1029" w:rsidRPr="008A61CF" w:rsidRDefault="00991029" w:rsidP="00427542">
            <w:pPr>
              <w:tabs>
                <w:tab w:val="left" w:pos="3936"/>
              </w:tabs>
              <w:rPr>
                <w:rFonts w:ascii="Cambria" w:hAnsi="Cambria" w:cs="Tahoma"/>
              </w:rPr>
            </w:pPr>
            <w:r w:rsidRPr="008A61CF">
              <w:rPr>
                <w:rFonts w:ascii="Cambria" w:hAnsi="Cambria" w:cs="Tahoma"/>
                <w:noProof/>
                <w:lang w:val="pl-PL" w:eastAsia="pl-PL"/>
              </w:rPr>
              <w:drawing>
                <wp:anchor distT="0" distB="0" distL="114300" distR="114300" simplePos="0" relativeHeight="251664384" behindDoc="0" locked="0" layoutInCell="1" allowOverlap="1" wp14:anchorId="2B6655D4" wp14:editId="0FF77C3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547370</wp:posOffset>
                  </wp:positionV>
                  <wp:extent cx="1505276" cy="546100"/>
                  <wp:effectExtent l="0" t="0" r="0" b="6350"/>
                  <wp:wrapSquare wrapText="bothSides"/>
                  <wp:docPr id="3" name="Obraz 3" descr="F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276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1029" w:rsidRPr="008A61CF" w:rsidRDefault="00991029" w:rsidP="00427542">
            <w:pPr>
              <w:tabs>
                <w:tab w:val="left" w:pos="3936"/>
              </w:tabs>
              <w:jc w:val="center"/>
              <w:rPr>
                <w:rFonts w:ascii="Cambria" w:hAnsi="Cambria" w:cs="Tahoma"/>
              </w:rPr>
            </w:pPr>
          </w:p>
        </w:tc>
      </w:tr>
    </w:tbl>
    <w:p w:rsidR="00991029" w:rsidRPr="008D3749" w:rsidRDefault="00991029" w:rsidP="00991029">
      <w:pPr>
        <w:pStyle w:val="Nagwek1"/>
        <w:jc w:val="center"/>
        <w:rPr>
          <w:rFonts w:asciiTheme="minorHAnsi" w:hAnsiTheme="minorHAnsi"/>
          <w:b/>
          <w:color w:val="5B9BD5" w:themeColor="accent1"/>
          <w:sz w:val="40"/>
          <w:lang w:val="pl-PL"/>
        </w:rPr>
      </w:pPr>
      <w:r w:rsidRPr="008D3749">
        <w:rPr>
          <w:rFonts w:asciiTheme="minorHAnsi" w:hAnsiTheme="minorHAnsi"/>
          <w:b/>
          <w:color w:val="5B9BD5" w:themeColor="accent1"/>
          <w:sz w:val="40"/>
          <w:lang w:val="pl-PL"/>
        </w:rPr>
        <w:t>Prawa człowieka a wzajemne uznawanie wyroków w UE - refleksje na kanwie sprawy Celmer</w:t>
      </w:r>
    </w:p>
    <w:p w:rsidR="00991029" w:rsidRDefault="00991029" w:rsidP="00991029">
      <w:pPr>
        <w:pStyle w:val="Bezodstpw"/>
        <w:jc w:val="center"/>
        <w:rPr>
          <w:lang w:val="pl-PL"/>
        </w:rPr>
      </w:pPr>
    </w:p>
    <w:p w:rsidR="00991029" w:rsidRPr="008D3749" w:rsidRDefault="00991029" w:rsidP="00991029">
      <w:pPr>
        <w:pStyle w:val="Bezodstpw"/>
        <w:jc w:val="center"/>
        <w:rPr>
          <w:sz w:val="24"/>
          <w:lang w:val="pl-PL"/>
        </w:rPr>
      </w:pPr>
      <w:r w:rsidRPr="008D3749">
        <w:rPr>
          <w:sz w:val="24"/>
          <w:lang w:val="pl-PL"/>
        </w:rPr>
        <w:t>Konferencja Helsińskiej Fundacji Praw Człowieka</w:t>
      </w:r>
    </w:p>
    <w:p w:rsidR="00991029" w:rsidRPr="008D3749" w:rsidRDefault="00991029" w:rsidP="00991029">
      <w:pPr>
        <w:pStyle w:val="Bezodstpw"/>
        <w:jc w:val="center"/>
        <w:rPr>
          <w:sz w:val="24"/>
          <w:lang w:val="pl-PL"/>
        </w:rPr>
      </w:pPr>
      <w:r w:rsidRPr="008D3749">
        <w:rPr>
          <w:sz w:val="24"/>
          <w:lang w:val="pl-PL"/>
        </w:rPr>
        <w:t>13 czerwca 2018 r.</w:t>
      </w:r>
    </w:p>
    <w:p w:rsidR="00991029" w:rsidRDefault="00991029" w:rsidP="00991029">
      <w:pPr>
        <w:pStyle w:val="Bezodstpw"/>
        <w:jc w:val="center"/>
        <w:rPr>
          <w:sz w:val="24"/>
          <w:lang w:val="pl-PL"/>
        </w:rPr>
      </w:pPr>
      <w:r w:rsidRPr="008D3749">
        <w:rPr>
          <w:sz w:val="24"/>
          <w:lang w:val="pl-PL"/>
        </w:rPr>
        <w:t>Kancelaria Clifford Chance</w:t>
      </w:r>
    </w:p>
    <w:p w:rsidR="00991029" w:rsidRPr="008D3749" w:rsidRDefault="00991029" w:rsidP="00991029">
      <w:pPr>
        <w:pStyle w:val="Bezodstpw"/>
        <w:jc w:val="center"/>
        <w:rPr>
          <w:sz w:val="24"/>
          <w:lang w:val="pl-PL"/>
        </w:rPr>
      </w:pPr>
      <w:r>
        <w:rPr>
          <w:sz w:val="24"/>
          <w:lang w:val="pl-PL"/>
        </w:rPr>
        <w:t>ul. Lwowska 19, Warszawa</w:t>
      </w:r>
    </w:p>
    <w:p w:rsidR="00991029" w:rsidRDefault="00991029" w:rsidP="00991029">
      <w:pPr>
        <w:jc w:val="center"/>
        <w:rPr>
          <w:lang w:val="pl-PL"/>
        </w:rPr>
      </w:pPr>
    </w:p>
    <w:p w:rsidR="00991029" w:rsidRPr="008D3749" w:rsidRDefault="00991029" w:rsidP="00991029">
      <w:pPr>
        <w:jc w:val="center"/>
        <w:rPr>
          <w:b/>
          <w:color w:val="5B9BD5" w:themeColor="accent1"/>
          <w:sz w:val="28"/>
          <w:lang w:val="pl-PL"/>
        </w:rPr>
      </w:pPr>
      <w:r w:rsidRPr="008D3749">
        <w:rPr>
          <w:b/>
          <w:color w:val="5B9BD5" w:themeColor="accent1"/>
          <w:sz w:val="28"/>
          <w:lang w:val="pl-PL"/>
        </w:rPr>
        <w:t>PROGRAM</w:t>
      </w:r>
    </w:p>
    <w:p w:rsidR="00991029" w:rsidRPr="008D3749" w:rsidRDefault="00991029" w:rsidP="00991029">
      <w:pPr>
        <w:jc w:val="center"/>
        <w:rPr>
          <w:b/>
          <w:color w:val="5B9BD5" w:themeColor="accent1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991029" w:rsidRPr="008D3749" w:rsidTr="00427542">
        <w:tc>
          <w:tcPr>
            <w:tcW w:w="1696" w:type="dxa"/>
            <w:tcBorders>
              <w:bottom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 w:rsidRPr="008D3749">
              <w:rPr>
                <w:sz w:val="24"/>
                <w:lang w:val="pl-PL"/>
              </w:rPr>
              <w:t>13.30-14.00</w:t>
            </w:r>
          </w:p>
        </w:tc>
        <w:tc>
          <w:tcPr>
            <w:tcW w:w="7366" w:type="dxa"/>
            <w:tcBorders>
              <w:bottom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 w:rsidRPr="008D3749">
              <w:rPr>
                <w:sz w:val="24"/>
                <w:lang w:val="pl-PL"/>
              </w:rPr>
              <w:t>Rejestracja uczestników i lunch</w:t>
            </w:r>
          </w:p>
        </w:tc>
      </w:tr>
      <w:tr w:rsidR="00991029" w:rsidRPr="008D3749" w:rsidTr="00427542">
        <w:tc>
          <w:tcPr>
            <w:tcW w:w="1696" w:type="dxa"/>
            <w:tcBorders>
              <w:top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</w:p>
        </w:tc>
        <w:tc>
          <w:tcPr>
            <w:tcW w:w="7366" w:type="dxa"/>
            <w:tcBorders>
              <w:top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</w:p>
        </w:tc>
      </w:tr>
      <w:tr w:rsidR="00991029" w:rsidRPr="008D3749" w:rsidTr="00427542">
        <w:tc>
          <w:tcPr>
            <w:tcW w:w="1696" w:type="dxa"/>
            <w:tcBorders>
              <w:bottom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14.00-14.20</w:t>
            </w:r>
          </w:p>
        </w:tc>
        <w:tc>
          <w:tcPr>
            <w:tcW w:w="7366" w:type="dxa"/>
            <w:tcBorders>
              <w:bottom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 w:rsidRPr="008D3749">
              <w:rPr>
                <w:sz w:val="24"/>
                <w:lang w:val="pl-PL"/>
              </w:rPr>
              <w:t>Przywitanie i prezentacja raportu HFPC</w:t>
            </w:r>
          </w:p>
        </w:tc>
      </w:tr>
      <w:tr w:rsidR="00991029" w:rsidRPr="008D3749" w:rsidTr="00427542">
        <w:tc>
          <w:tcPr>
            <w:tcW w:w="1696" w:type="dxa"/>
            <w:tcBorders>
              <w:top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</w:p>
        </w:tc>
        <w:tc>
          <w:tcPr>
            <w:tcW w:w="7366" w:type="dxa"/>
            <w:tcBorders>
              <w:top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</w:p>
        </w:tc>
      </w:tr>
      <w:tr w:rsidR="00991029" w:rsidRPr="008D3749" w:rsidTr="00427542">
        <w:tc>
          <w:tcPr>
            <w:tcW w:w="1696" w:type="dxa"/>
            <w:tcBorders>
              <w:bottom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14.20-15.10</w:t>
            </w:r>
          </w:p>
        </w:tc>
        <w:tc>
          <w:tcPr>
            <w:tcW w:w="7366" w:type="dxa"/>
            <w:tcBorders>
              <w:bottom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b/>
                <w:sz w:val="24"/>
                <w:lang w:val="pl-PL"/>
              </w:rPr>
            </w:pPr>
            <w:r w:rsidRPr="008D3749">
              <w:rPr>
                <w:b/>
                <w:sz w:val="24"/>
                <w:lang w:val="pl-PL"/>
              </w:rPr>
              <w:t>Panel 1. Sprawa Celmer a zasada wzajemnego uznawania orzeczeń</w:t>
            </w:r>
          </w:p>
          <w:p w:rsidR="00991029" w:rsidRPr="008D3749" w:rsidRDefault="00991029" w:rsidP="00427542">
            <w:pPr>
              <w:rPr>
                <w:b/>
                <w:sz w:val="24"/>
                <w:lang w:val="pl-PL"/>
              </w:rPr>
            </w:pPr>
          </w:p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 w:rsidRPr="008D3749">
              <w:rPr>
                <w:sz w:val="24"/>
                <w:lang w:val="pl-PL"/>
              </w:rPr>
              <w:t>Wystąpienia:</w:t>
            </w:r>
          </w:p>
          <w:p w:rsidR="00991029" w:rsidRPr="008D3749" w:rsidRDefault="00991029" w:rsidP="00427542">
            <w:pPr>
              <w:rPr>
                <w:sz w:val="24"/>
                <w:lang w:val="pl-PL"/>
              </w:rPr>
            </w:pPr>
          </w:p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 w:rsidRPr="008D3749">
              <w:rPr>
                <w:sz w:val="24"/>
                <w:lang w:val="pl-PL"/>
              </w:rPr>
              <w:t>Dr Maciej Taborowski (UW)</w:t>
            </w:r>
          </w:p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 w:rsidRPr="008D3749">
              <w:rPr>
                <w:sz w:val="24"/>
                <w:lang w:val="pl-PL"/>
              </w:rPr>
              <w:t>Prof. UW dr hab. Marcin Matczak</w:t>
            </w:r>
          </w:p>
          <w:p w:rsidR="00991029" w:rsidRDefault="00991029" w:rsidP="00427542">
            <w:pPr>
              <w:rPr>
                <w:sz w:val="24"/>
                <w:lang w:val="pl-PL"/>
              </w:rPr>
            </w:pPr>
            <w:r w:rsidRPr="008D3749">
              <w:rPr>
                <w:sz w:val="24"/>
                <w:lang w:val="pl-PL"/>
              </w:rPr>
              <w:t>Dr Agnieszka Frąckowiak-Adamska (UWr)</w:t>
            </w:r>
          </w:p>
          <w:p w:rsidR="00991029" w:rsidRDefault="00991029" w:rsidP="00427542">
            <w:pPr>
              <w:rPr>
                <w:sz w:val="24"/>
                <w:lang w:val="pl-PL"/>
              </w:rPr>
            </w:pPr>
          </w:p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Moderacja: Katarzyna Wiśniewska</w:t>
            </w:r>
          </w:p>
          <w:p w:rsidR="00991029" w:rsidRPr="008D3749" w:rsidRDefault="00991029" w:rsidP="00427542">
            <w:pPr>
              <w:rPr>
                <w:sz w:val="24"/>
                <w:lang w:val="pl-PL"/>
              </w:rPr>
            </w:pPr>
          </w:p>
        </w:tc>
      </w:tr>
      <w:tr w:rsidR="00991029" w:rsidRPr="008D3749" w:rsidTr="00427542">
        <w:tc>
          <w:tcPr>
            <w:tcW w:w="1696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15.10.-15.40</w:t>
            </w:r>
          </w:p>
        </w:tc>
        <w:tc>
          <w:tcPr>
            <w:tcW w:w="7366" w:type="dxa"/>
            <w:tcBorders>
              <w:top w:val="single" w:sz="8" w:space="0" w:color="5B9BD5" w:themeColor="accent1"/>
              <w:bottom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 w:rsidRPr="008D3749">
              <w:rPr>
                <w:sz w:val="24"/>
                <w:lang w:val="pl-PL"/>
              </w:rPr>
              <w:t>Dyskusja</w:t>
            </w:r>
          </w:p>
        </w:tc>
      </w:tr>
      <w:tr w:rsidR="00991029" w:rsidRPr="008D3749" w:rsidTr="00427542">
        <w:tc>
          <w:tcPr>
            <w:tcW w:w="1696" w:type="dxa"/>
            <w:tcBorders>
              <w:top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</w:p>
        </w:tc>
        <w:tc>
          <w:tcPr>
            <w:tcW w:w="7366" w:type="dxa"/>
            <w:tcBorders>
              <w:top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</w:p>
        </w:tc>
      </w:tr>
      <w:tr w:rsidR="00991029" w:rsidRPr="008D3749" w:rsidTr="00427542">
        <w:tc>
          <w:tcPr>
            <w:tcW w:w="1696" w:type="dxa"/>
            <w:tcBorders>
              <w:bottom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15.40-16.00</w:t>
            </w:r>
          </w:p>
        </w:tc>
        <w:tc>
          <w:tcPr>
            <w:tcW w:w="7366" w:type="dxa"/>
            <w:tcBorders>
              <w:bottom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Przerwa kawowa</w:t>
            </w:r>
          </w:p>
        </w:tc>
      </w:tr>
      <w:tr w:rsidR="00991029" w:rsidRPr="008D3749" w:rsidTr="00427542">
        <w:tc>
          <w:tcPr>
            <w:tcW w:w="1696" w:type="dxa"/>
            <w:tcBorders>
              <w:top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</w:p>
        </w:tc>
        <w:tc>
          <w:tcPr>
            <w:tcW w:w="7366" w:type="dxa"/>
            <w:tcBorders>
              <w:top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</w:p>
        </w:tc>
      </w:tr>
      <w:tr w:rsidR="00991029" w:rsidRPr="008D3749" w:rsidTr="00427542">
        <w:tc>
          <w:tcPr>
            <w:tcW w:w="1696" w:type="dxa"/>
            <w:tcBorders>
              <w:bottom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16.00-16.50</w:t>
            </w:r>
          </w:p>
        </w:tc>
        <w:tc>
          <w:tcPr>
            <w:tcW w:w="7366" w:type="dxa"/>
            <w:tcBorders>
              <w:bottom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b/>
                <w:sz w:val="24"/>
                <w:lang w:val="pl-PL"/>
              </w:rPr>
            </w:pPr>
            <w:r w:rsidRPr="008D3749">
              <w:rPr>
                <w:b/>
                <w:sz w:val="24"/>
                <w:lang w:val="pl-PL"/>
              </w:rPr>
              <w:t>Panel 2. ENA a prawa człowieka</w:t>
            </w:r>
          </w:p>
          <w:p w:rsidR="00991029" w:rsidRDefault="00991029" w:rsidP="00427542">
            <w:pPr>
              <w:rPr>
                <w:sz w:val="24"/>
                <w:lang w:val="pl-PL"/>
              </w:rPr>
            </w:pPr>
          </w:p>
          <w:p w:rsidR="00991029" w:rsidRDefault="00991029" w:rsidP="0042754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Wystąpienia:</w:t>
            </w:r>
          </w:p>
          <w:p w:rsidR="00991029" w:rsidRDefault="00991029" w:rsidP="00427542">
            <w:pPr>
              <w:rPr>
                <w:sz w:val="24"/>
                <w:lang w:val="pl-PL"/>
              </w:rPr>
            </w:pPr>
          </w:p>
          <w:p w:rsidR="00991029" w:rsidRDefault="00991029" w:rsidP="0042754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Adw. Zbigniew </w:t>
            </w:r>
            <w:r w:rsidRPr="00A43B2A">
              <w:rPr>
                <w:sz w:val="24"/>
                <w:lang w:val="pl-PL"/>
              </w:rPr>
              <w:t>Krüger</w:t>
            </w:r>
          </w:p>
          <w:p w:rsidR="00991029" w:rsidRDefault="00991029" w:rsidP="0042754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Rp.p. Magda Krzyżanowska-Mierzewska</w:t>
            </w:r>
          </w:p>
          <w:p w:rsidR="00991029" w:rsidRDefault="00991029" w:rsidP="0042754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Maria Ejchart-Dubois</w:t>
            </w:r>
          </w:p>
          <w:p w:rsidR="00991029" w:rsidRDefault="00991029" w:rsidP="00427542">
            <w:pPr>
              <w:rPr>
                <w:sz w:val="24"/>
                <w:lang w:val="pl-PL"/>
              </w:rPr>
            </w:pPr>
          </w:p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Moderacja: Piotr Kładoczny</w:t>
            </w:r>
          </w:p>
        </w:tc>
      </w:tr>
      <w:tr w:rsidR="00991029" w:rsidRPr="008D3749" w:rsidTr="00427542">
        <w:tc>
          <w:tcPr>
            <w:tcW w:w="1696" w:type="dxa"/>
            <w:tcBorders>
              <w:top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</w:p>
        </w:tc>
        <w:tc>
          <w:tcPr>
            <w:tcW w:w="7366" w:type="dxa"/>
            <w:tcBorders>
              <w:top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</w:p>
        </w:tc>
      </w:tr>
      <w:tr w:rsidR="00991029" w:rsidRPr="008D3749" w:rsidTr="00427542">
        <w:tc>
          <w:tcPr>
            <w:tcW w:w="1696" w:type="dxa"/>
            <w:tcBorders>
              <w:bottom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16.50-17.20</w:t>
            </w:r>
          </w:p>
        </w:tc>
        <w:tc>
          <w:tcPr>
            <w:tcW w:w="7366" w:type="dxa"/>
            <w:tcBorders>
              <w:bottom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Dyskusja</w:t>
            </w:r>
          </w:p>
        </w:tc>
      </w:tr>
      <w:tr w:rsidR="00991029" w:rsidRPr="008D3749" w:rsidTr="00427542">
        <w:tc>
          <w:tcPr>
            <w:tcW w:w="1696" w:type="dxa"/>
            <w:tcBorders>
              <w:top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</w:p>
        </w:tc>
        <w:tc>
          <w:tcPr>
            <w:tcW w:w="7366" w:type="dxa"/>
            <w:tcBorders>
              <w:top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</w:p>
        </w:tc>
      </w:tr>
      <w:tr w:rsidR="00991029" w:rsidRPr="008D3749" w:rsidTr="00427542">
        <w:tc>
          <w:tcPr>
            <w:tcW w:w="1696" w:type="dxa"/>
            <w:tcBorders>
              <w:bottom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17.20-17.30</w:t>
            </w:r>
          </w:p>
        </w:tc>
        <w:tc>
          <w:tcPr>
            <w:tcW w:w="7366" w:type="dxa"/>
            <w:tcBorders>
              <w:bottom w:val="single" w:sz="8" w:space="0" w:color="5B9BD5" w:themeColor="accent1"/>
            </w:tcBorders>
          </w:tcPr>
          <w:p w:rsidR="00991029" w:rsidRPr="008D3749" w:rsidRDefault="00991029" w:rsidP="00427542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Podsumowanie</w:t>
            </w:r>
          </w:p>
        </w:tc>
      </w:tr>
    </w:tbl>
    <w:p w:rsidR="00991029" w:rsidRPr="009F1565" w:rsidRDefault="00991029" w:rsidP="00991029">
      <w:pPr>
        <w:rPr>
          <w:lang w:val="pl-PL"/>
        </w:rPr>
      </w:pPr>
    </w:p>
    <w:p w:rsidR="000A2485" w:rsidRPr="000A2485" w:rsidRDefault="000A2485" w:rsidP="004F2539">
      <w:pPr>
        <w:jc w:val="both"/>
        <w:rPr>
          <w:lang w:val="pl-PL"/>
        </w:rPr>
      </w:pPr>
    </w:p>
    <w:sectPr w:rsidR="000A2485" w:rsidRPr="000A2485" w:rsidSect="009910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0A" w:rsidRDefault="007A2A0A" w:rsidP="004F2539">
      <w:pPr>
        <w:spacing w:after="0" w:line="240" w:lineRule="auto"/>
      </w:pPr>
      <w:r>
        <w:separator/>
      </w:r>
    </w:p>
  </w:endnote>
  <w:endnote w:type="continuationSeparator" w:id="0">
    <w:p w:rsidR="007A2A0A" w:rsidRDefault="007A2A0A" w:rsidP="004F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0A" w:rsidRDefault="007A2A0A" w:rsidP="004F2539">
      <w:pPr>
        <w:spacing w:after="0" w:line="240" w:lineRule="auto"/>
      </w:pPr>
      <w:r>
        <w:separator/>
      </w:r>
    </w:p>
  </w:footnote>
  <w:footnote w:type="continuationSeparator" w:id="0">
    <w:p w:rsidR="007A2A0A" w:rsidRDefault="007A2A0A" w:rsidP="004F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39"/>
    <w:rsid w:val="000A2485"/>
    <w:rsid w:val="000E0CF9"/>
    <w:rsid w:val="001333F6"/>
    <w:rsid w:val="00311AED"/>
    <w:rsid w:val="003B7FB2"/>
    <w:rsid w:val="0044307E"/>
    <w:rsid w:val="004F2539"/>
    <w:rsid w:val="00746B62"/>
    <w:rsid w:val="007A2A0A"/>
    <w:rsid w:val="00903F01"/>
    <w:rsid w:val="00991029"/>
    <w:rsid w:val="00B93C41"/>
    <w:rsid w:val="00BD1461"/>
    <w:rsid w:val="00EE294D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786D-3E77-48DD-B288-A74F532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1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53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F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539"/>
    <w:rPr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0A248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910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ela-Siatka">
    <w:name w:val="Table Grid"/>
    <w:basedOn w:val="Standardowy"/>
    <w:uiPriority w:val="39"/>
    <w:rsid w:val="0099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02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.smetek@hfhr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Smętek</dc:creator>
  <cp:keywords/>
  <dc:description/>
  <cp:lastModifiedBy>Marcin</cp:lastModifiedBy>
  <cp:revision>4</cp:revision>
  <dcterms:created xsi:type="dcterms:W3CDTF">2018-06-05T09:10:00Z</dcterms:created>
  <dcterms:modified xsi:type="dcterms:W3CDTF">2018-06-05T09:16:00Z</dcterms:modified>
</cp:coreProperties>
</file>